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299d1_8k.htm"/>
      <w:bookmarkStart w:id="1" w:name="kstm262429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608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A_edei--EntityFileNumber_c20260828"/>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1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 Great Valley Parkway, </w:t>
            </w:r>
            <w:bookmarkStart w:id="9" w:name="xdx_901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Malvern, </w:t>
            </w:r>
            <w:bookmarkStart w:id="11" w:name="xdx_905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1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0828__20"/>
      <w:bookmarkEnd w:id="13"/>
      <w:r>
        <w:rPr>
          <w:rFonts w:ascii="Times New Roman;Times;Serif" w:hAnsi="Times New Roman;Times;Serif"/>
          <w:b/>
          <w:i w:val="false"/>
          <w:caps w:val="false"/>
          <w:smallCaps w:val="false"/>
          <w:sz w:val="20"/>
        </w:rPr>
        <w:t xml:space="preserve">484) </w:t>
      </w:r>
      <w:bookmarkStart w:id="14" w:name="xdx_905_edei--LocalPhoneNumber_c20260828"/>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5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4_edei--SolicitingMaterial_c202608"/>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1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0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4_edei--Security12bTitle_c20260828"/>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D_edei--TradingSymbol_c20260828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B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830"/>
        <w:gridCol w:w="4130"/>
      </w:tblGrid>
      <w:tr>
        <w:trPr/>
        <w:tc>
          <w:tcPr>
            <w:tcW w:w="830" w:type="dxa"/>
            <w:tcBorders/>
            <w:vAlign w:val="center"/>
          </w:tcPr>
          <w:p>
            <w:pPr>
              <w:pStyle w:val="TableContents"/>
              <w:bidi w:val="0"/>
              <w:spacing w:before="0" w:after="283"/>
              <w:jc w:val="left"/>
              <w:rPr>
                <w:b/>
                <w:sz w:val="20"/>
              </w:rPr>
            </w:pPr>
            <w:r>
              <w:rPr>
                <w:b/>
                <w:sz w:val="20"/>
              </w:rPr>
              <w:t>Item 2.05</w:t>
            </w:r>
          </w:p>
        </w:tc>
        <w:tc>
          <w:tcPr>
            <w:tcW w:w="4130" w:type="dxa"/>
            <w:tcBorders/>
            <w:vAlign w:val="center"/>
          </w:tcPr>
          <w:p>
            <w:pPr>
              <w:pStyle w:val="TableContents"/>
              <w:bidi w:val="0"/>
              <w:spacing w:before="0" w:after="283"/>
              <w:jc w:val="left"/>
              <w:rPr>
                <w:b/>
                <w:sz w:val="20"/>
              </w:rPr>
            </w:pPr>
            <w:r>
              <w:rPr>
                <w:b/>
                <w:sz w:val="20"/>
              </w:rPr>
              <w:t>Costs Associated with Exit or Disposal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approved a reduction in workforce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in order to reduce the Company’s operating expenses and preserve capital to focus on improving product sales to support increasing future revenue growth. The Plan will reduce the Company’s workforce by approximately 20%, from 201 full-time employees to 160 full-time employees, and is expected to be substantially completed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incur aggregate charges of approximately $1.5 million in connection with the Plan, consisting primarily of severance and other employee-related costs. The Company expects that substantially all of these charges will result in future cash expenditures and will be incurred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described above are subject to a number of assumptions and actual results may differ materially from the estimates. The Company may also incur additional charges or cash expenditures not currently contemplated due to events that may occur as the Plan is implemented.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sz w:val="20"/>
              </w:rPr>
            </w:pPr>
            <w:r>
              <w:rPr>
                <w:b/>
                <w:sz w:val="20"/>
              </w:rPr>
              <w:t>Item 5.02</w:t>
            </w:r>
          </w:p>
        </w:tc>
        <w:tc>
          <w:tcPr>
            <w:tcW w:w="9486"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August 31, 2026, Roberto Cuca stepped down from his position as the Company’s Chief Financial Officer, Chief Operating Officer, Corporate Secretary and principal financial officer. Mr. Cuca’s departure will be treated as a termination without cause pursuant to his existing employment agreement. The Board appointed Heather Getz to serve as the Company’s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enter into a separation agreement with Mr. Cuca on the same terms as provided for in his existing employment agreement, which will be filed as an exhibit to the Company’s Quarterly Report on Form 10-Q for the quarter ended September 30, 2026.</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issued a press release announcing the Company’s strategic cost reduction initiative. A copy of this press release is furnished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furnished herewith:</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845"/>
        <w:gridCol w:w="60"/>
        <w:gridCol w:w="7625"/>
      </w:tblGrid>
      <w:tr>
        <w:trPr/>
        <w:tc>
          <w:tcPr>
            <w:tcW w:w="845" w:type="dxa"/>
            <w:tcBorders>
              <w:bottom w:val="single" w:sz="8" w:space="0" w:color="000000"/>
            </w:tcBorders>
            <w:vAlign w:val="center"/>
          </w:tcPr>
          <w:p>
            <w:pPr>
              <w:pStyle w:val="TableContents"/>
              <w:bidi w:val="0"/>
              <w:spacing w:before="0" w:after="283"/>
              <w:jc w:val="left"/>
              <w:rPr>
                <w:b/>
              </w:rPr>
            </w:pPr>
            <w:r>
              <w:rPr>
                <w:b/>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b/>
              </w:rPr>
            </w:pPr>
            <w:r>
              <w:rPr>
                <w:b/>
              </w:rPr>
              <w:t>Document</w:t>
            </w:r>
          </w:p>
        </w:tc>
      </w:tr>
      <w:tr>
        <w:trPr/>
        <w:tc>
          <w:tcPr>
            <w:tcW w:w="845" w:type="dxa"/>
            <w:tcBorders/>
            <w:tcMar>
              <w:bottom w:w="0" w:type="dxa"/>
            </w:tcMar>
            <w:vAlign w:val="center"/>
          </w:tcPr>
          <w:p>
            <w:pPr>
              <w:pStyle w:val="TableContents"/>
              <w:bidi w:val="0"/>
              <w:spacing w:before="0" w:after="283"/>
              <w:jc w:val="left"/>
              <w:rPr/>
            </w:pPr>
            <w:hyperlink w:anchor="tm2624299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4299d1_ex99-1.htm">
              <w:r>
                <w:rPr>
                  <w:rStyle w:val="InternetLink"/>
                </w:rPr>
                <w:t>Press Release of TELA Bio, Inc., dated August 31, 2026.</w:t>
              </w:r>
            </w:hyperlink>
          </w:p>
        </w:tc>
      </w:tr>
      <w:tr>
        <w:trPr/>
        <w:tc>
          <w:tcPr>
            <w:tcW w:w="84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665"/>
        <w:gridCol w:w="3530"/>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TELA BIO,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By:</w:t>
            </w:r>
          </w:p>
        </w:tc>
        <w:tc>
          <w:tcPr>
            <w:tcW w:w="3530" w:type="dxa"/>
            <w:tcBorders>
              <w:bottom w:val="single" w:sz="8" w:space="0" w:color="000000"/>
            </w:tcBorders>
            <w:tcMar>
              <w:bottom w:w="28" w:type="dxa"/>
            </w:tcMar>
            <w:vAlign w:val="center"/>
          </w:tcPr>
          <w:p>
            <w:pPr>
              <w:pStyle w:val="TableContents"/>
              <w:bidi w:val="0"/>
              <w:spacing w:before="0" w:after="283"/>
              <w:jc w:val="left"/>
              <w:rPr/>
            </w:pPr>
            <w:r>
              <w:rPr/>
              <w:t>/s/ 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Name:</w:t>
            </w:r>
          </w:p>
        </w:tc>
        <w:tc>
          <w:tcPr>
            <w:tcW w:w="3530" w:type="dxa"/>
            <w:tcBorders/>
            <w:vAlign w:val="center"/>
          </w:tcPr>
          <w:p>
            <w:pPr>
              <w:pStyle w:val="TableContents"/>
              <w:bidi w:val="0"/>
              <w:spacing w:before="0" w:after="283"/>
              <w:jc w:val="left"/>
              <w:rPr>
                <w:i/>
              </w:rPr>
            </w:pPr>
            <w:r>
              <w:rPr>
                <w:i/>
              </w:rPr>
              <w:t>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Title:</w:t>
            </w:r>
          </w:p>
        </w:tc>
        <w:tc>
          <w:tcPr>
            <w:tcW w:w="3530" w:type="dxa"/>
            <w:tcBorders/>
            <w:vAlign w:val="center"/>
          </w:tcPr>
          <w:p>
            <w:pPr>
              <w:pStyle w:val="TableContents"/>
              <w:bidi w:val="0"/>
              <w:spacing w:before="0" w:after="283"/>
              <w:jc w:val="left"/>
              <w:rPr>
                <w:i/>
              </w:rPr>
            </w:pPr>
            <w:r>
              <w:rPr>
                <w:i/>
              </w:rPr>
              <w:t>Chief Executive Officer and Director</w:t>
            </w:r>
          </w:p>
        </w:tc>
      </w:tr>
    </w:tbl>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4299d1_ex99-1.htm"/>
      <w:bookmarkStart w:id="24" w:name="kstm2624299d1_ex991"/>
      <w:bookmarkEnd w:id="23"/>
      <w:bookmarkEnd w:id="24"/>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657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Announces COO / CFO Transition and Strategic Cost Reduction Initiative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reduce annual operating expenses by $17.0 million or 18%</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part of broader efficiency program</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August 31, 2026 -- TELA Bio, Inc. (“TELA Bio” or the “Company”), a commercial-stage medical technology company focused on providing innovative soft-tissue reconstruction solutions, today announced that Roberto Cuca, Chief Operating Officer and Chief Financial Officer, will step down from the role effective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and management team, I would like to thank Roberto for his many contributions to TELA Bio over the past five years,” said Heather Getz, Chief Executive Officer of TELA Bio. “Roberto has been instrumental in helping us scale operations in support of the Company’s long-term growth aspirations. We are deeply grateful for his commitment to the organization, and we wish him all the best in his future endeavors.”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Getz continued, “At the same time, we are implementing a broader initiative to strengthen our cost structure and position TELA Bio for long-term success. Over the last month, we have conducted a comprehensive review of our business and corporate infrastructure to identify opportunities to operate more efficiently. As a result, we have taken actions to reduce our annual operating expenses by approximately $17.0 million across the organization. These savings will be driven by a targeted headcount reduction of approximately 20% and the streamlining of external resources, while preserving our ability to invest in our core growth priorities and product innovation. We are focused on disciplined execution, strengthening the business, and creating a more efficient organization positioned to deliver sustainable long-term growth and expect this initiative to extend our cash runway into 2028.”</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 Bio anticipates incurring a one-time restructuring charge of approximately $1.5 million in the third quarter of 2026, primarily related to severance and other employee-related costs. The Company intends to provide additional details and commentary regarding the cost reduction initiatives during its third quarter 2026 earnings call, planned for early November.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TELA Bio, Inc.</w:t>
      </w:r>
    </w:p>
    <w:p>
      <w:pPr>
        <w:pStyle w:val="TextBody"/>
        <w:shd w:fill="FFFFFF" w:val="clear"/>
        <w:bidi w:val="0"/>
        <w:spacing w:before="0" w:after="0"/>
        <w:ind w:left="0" w:right="0" w:hanging="0"/>
        <w:jc w:val="left"/>
        <w:rPr>
          <w:caps w:val="false"/>
          <w:smallCaps w:val="false"/>
          <w:color w:val="373737"/>
        </w:rPr>
      </w:pPr>
      <w:r>
        <w:rPr>
          <w:caps w:val="false"/>
          <w:smallCaps w:val="false"/>
          <w:color w:val="373737"/>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without limitation, statements relating to the anticipated benefits from the Company’s cost reduction initiatives; and other statements regarding the Company’s future plans, objectives, and financial and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certain risks, uncertainties and other factors that could cause actual results and events to differ materially and adversely from those indicated by such forward-looking statements, including, but not limited to: risks associated with executive leadership transitions, including the ability to successfully integrate new senior management and retain key personnel during and after such transitions; the impact to our business from macroeconomic conditions, including recessionary concerns, banking instability, increasing market interest rates, monetary policy changes, changes in trade policies, including tariffs and trade protection measures, and inflationary pressures, potentially impacting our ability to market our products, including the launch of new products; demand for our products related to changes in volumes or frequency of surgical procedures, including due to outbreak of illness or disease, cybersecurity events impacting hospital operations, potential hospital closures, labor and hospital staffing shortages, supply chain disruptions to critical surgical and hospital supplies, pricing pressures or any other applicable adverse healthcare economic factors; our ability to achieve or sustain profitability; our ability to gain market acceptance for our products and to accurately forecast and meet customer demand; our ability to compete successfully; our ability to successfully reduce our operating expenses through our cost reduction initiatives and to realize the anticipated benefits from such initiatives; that data from earlier studies related to our products and interim data from ongoing studies may not be replicated in later studies or indicative of future data; our ability to enhance our product offerings, including successful launch of new products; our ability to maintain expanded market access; product development and manufacturing problems; capacity constraints or delays in production of our products; maintenance of coverage and adequate reimbursement for procedures using our products; and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color w:val="0A0A0A"/>
        </w:rPr>
      </w:pPr>
      <w:r>
        <w:rPr>
          <w:caps w:val="false"/>
          <w:smallCaps w:val="false"/>
          <w:color w:val="0A0A0A"/>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i w:val="false"/>
          <w:caps w:val="false"/>
          <w:smallCaps w:val="false"/>
          <w:color w:val="0A0A0A"/>
          <w:sz w:val="20"/>
        </w:rPr>
        <w:t>Investor Contact</w:t>
      </w:r>
      <w:r>
        <w:rPr>
          <w:rFonts w:ascii="Times New Roman;Times;Serif" w:hAnsi="Times New Roman;Times;Serif"/>
          <w:b w:val="false"/>
          <w:i w:val="false"/>
          <w:caps w:val="false"/>
          <w:smallCaps w:val="false"/>
          <w:color w:val="0A0A0A"/>
          <w:sz w:val="20"/>
        </w:rPr>
        <w:br/>
        <w:t>Louisa Smith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1705</Words>
  <Characters>9916</Characters>
  <CharactersWithSpaces>11625</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